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3484ED18" w:rsidR="00EB4C6E" w:rsidRPr="003D4CB9" w:rsidRDefault="00632BC7" w:rsidP="00EB4C6E">
      <w:pPr>
        <w:spacing w:line="276" w:lineRule="auto"/>
        <w:ind w:right="140"/>
        <w:rPr>
          <w:rFonts w:cs="Adobe Arabic"/>
          <w:b/>
          <w:sz w:val="24"/>
        </w:rPr>
      </w:pPr>
      <w:r>
        <w:rPr>
          <w:b/>
          <w:sz w:val="24"/>
        </w:rPr>
        <w:t xml:space="preserve">Nieuwe functies voor de MDE-software StateMonitor van HEIDENHAIN: Energiemonitoring en ERP-koppeling </w:t>
      </w:r>
    </w:p>
    <w:p w14:paraId="5BCF425C" w14:textId="77777777" w:rsidR="00EB4C6E" w:rsidRDefault="00EB4C6E" w:rsidP="00EB4C6E">
      <w:pPr>
        <w:spacing w:line="276" w:lineRule="auto"/>
        <w:ind w:right="140"/>
        <w:rPr>
          <w:rFonts w:cs="Adobe Arabic"/>
        </w:rPr>
      </w:pPr>
    </w:p>
    <w:p w14:paraId="3931B23E" w14:textId="6A887EBE" w:rsidR="00EB4C6E" w:rsidRPr="00EB4C6E" w:rsidRDefault="00DF2886" w:rsidP="00EB4C6E">
      <w:pPr>
        <w:spacing w:line="276" w:lineRule="auto"/>
        <w:ind w:right="-94"/>
        <w:rPr>
          <w:rFonts w:cs="Adobe Arabic"/>
          <w:i/>
        </w:rPr>
      </w:pPr>
      <w:r>
        <w:rPr>
          <w:i/>
        </w:rPr>
        <w:t xml:space="preserve">Machinegegevens registreren, analyseren en visualiseren – de MDE-software StateMonitor van HEIDENHAIN biedt in real-time 360°-zicht op de productiestatus van CNC-gereedschapsmachines in de werkplaats. Daartoe behoren nu uitgebreide mogelijkheden om de energiegegevens van de machines te analyseren. Bovendien kan StateMonitor via een opdrachtinterface met ERP- en MES-systemen worden verbonden voor automatische gegevensuitwisseling. </w:t>
      </w:r>
    </w:p>
    <w:p w14:paraId="428FC0CD" w14:textId="77777777" w:rsidR="00EB4C6E" w:rsidRDefault="00EB4C6E" w:rsidP="00EB4C6E">
      <w:pPr>
        <w:spacing w:line="276" w:lineRule="auto"/>
        <w:ind w:right="140"/>
        <w:rPr>
          <w:rFonts w:cs="Adobe Arabic"/>
        </w:rPr>
      </w:pPr>
    </w:p>
    <w:p w14:paraId="68736BD0" w14:textId="0C2422CE" w:rsidR="00DF2886" w:rsidRPr="00632BC7" w:rsidRDefault="00DF2886" w:rsidP="00DF2886">
      <w:pPr>
        <w:spacing w:line="276" w:lineRule="auto"/>
        <w:ind w:right="140"/>
        <w:rPr>
          <w:rFonts w:cs="Adobe Arabic"/>
        </w:rPr>
      </w:pPr>
      <w:r>
        <w:t xml:space="preserve">StateMonitor van HEIDENHAIN is software voor de registratie van machinegegevens waarmee de gebruiker een zo groot mogelijke transparantie over de werkelijke processen in zijn productie wordt geboden. Zo houdt hij op elk moment van elke locatie zijn gehele machinepark in de gaten, en kan hij ervoor zorgen dat de machines efficiënt worden gebruikt. StateMonitor biedt nu twee nieuwe functies: energiemonitoring en de opdrachtinterface voor ERP- en MES-systemen. </w:t>
      </w:r>
    </w:p>
    <w:p w14:paraId="3BF47AF6" w14:textId="77777777" w:rsidR="00EB4C6E" w:rsidRDefault="00EB4C6E" w:rsidP="00EB4C6E">
      <w:pPr>
        <w:spacing w:line="276" w:lineRule="auto"/>
        <w:ind w:right="140"/>
        <w:rPr>
          <w:rFonts w:cs="Adobe Arabic"/>
        </w:rPr>
      </w:pPr>
    </w:p>
    <w:p w14:paraId="08AC3229" w14:textId="51DDA955" w:rsidR="002A6C7A" w:rsidRDefault="00E92936" w:rsidP="002A6C7A">
      <w:pPr>
        <w:spacing w:line="276" w:lineRule="auto"/>
        <w:rPr>
          <w:rFonts w:cs="Adobe Arabic"/>
          <w:b/>
        </w:rPr>
      </w:pPr>
      <w:r>
        <w:rPr>
          <w:b/>
        </w:rPr>
        <w:t>Energiemonitoring biedt inzicht in het werkelijke verbruik</w:t>
      </w:r>
    </w:p>
    <w:p w14:paraId="4E701254" w14:textId="3CBE83AC" w:rsidR="00E35995" w:rsidRDefault="00632BC7" w:rsidP="00632BC7">
      <w:pPr>
        <w:spacing w:line="276" w:lineRule="auto"/>
        <w:ind w:right="140"/>
        <w:rPr>
          <w:rFonts w:cs="Adobe Arabic"/>
        </w:rPr>
      </w:pPr>
      <w:r>
        <w:t xml:space="preserve">De analysemogelijkheden van de energiemonitoring in de MDE-software StateMonitor van HEIDENHAIN zorgen voor transparantie over het werkelijke energieverbruik van het machinepark. Zo kan de gebruiker het gebruik van zijn machinepark met StateMonitor naast het bewerkingsproces analyseren. Energiemonitoring levert gegevens over het verbruik van elektriciteit, perslucht en proceswater, en biedt zo valide evaluatiemogelijkheden om energievreters op te sporen, optimalisatiemaatregelen af te leiden en energiekosten te verlagen. </w:t>
      </w:r>
    </w:p>
    <w:p w14:paraId="22465893" w14:textId="58FA2116" w:rsidR="007B5290" w:rsidRPr="007B5290" w:rsidRDefault="00310BA8" w:rsidP="007B5290">
      <w:pPr>
        <w:spacing w:line="276" w:lineRule="auto"/>
        <w:ind w:right="140"/>
        <w:rPr>
          <w:rFonts w:cs="Adobe Arabic"/>
        </w:rPr>
      </w:pPr>
      <w:r>
        <w:t>De analyses kunnen per machine of aggregaat, voor gedefinieerde perioden en zelfs voor de uitvoering van afzonderlijke NC-programma's, dus voor afzonderlijk vervaardigde delen, worden uitgevoerd. De energiemonitoring gebruikt de energiesignalen van een machine die ofwel de besturing doorgeeft ofwel die door extra sensoren worden geregistreerd en aan StateMonitor worden gemeld. Zo wordt gewaarborgd dat het energieverbruik van het hele machinepark met zo weinig mogelijk moeite kan worden vastgesteld.</w:t>
      </w:r>
    </w:p>
    <w:p w14:paraId="03641958" w14:textId="73869C6D" w:rsidR="00DA75BA" w:rsidRPr="001D2A34" w:rsidRDefault="00DA75BA" w:rsidP="001D2A34">
      <w:pPr>
        <w:spacing w:line="276" w:lineRule="auto"/>
        <w:ind w:right="140"/>
        <w:rPr>
          <w:rFonts w:cs="Adobe Arabic"/>
        </w:rPr>
      </w:pPr>
    </w:p>
    <w:p w14:paraId="47D16F33" w14:textId="52FAF21F" w:rsidR="00632BC7" w:rsidRPr="006C4D06" w:rsidRDefault="006C4D06" w:rsidP="006C4D06">
      <w:pPr>
        <w:spacing w:line="276" w:lineRule="auto"/>
        <w:rPr>
          <w:rFonts w:cs="Adobe Arabic"/>
          <w:b/>
        </w:rPr>
      </w:pPr>
      <w:r>
        <w:rPr>
          <w:b/>
        </w:rPr>
        <w:t>Geautomatiseerde gegevensuitwisseling met ERP- en MES-systemen</w:t>
      </w:r>
    </w:p>
    <w:p w14:paraId="1AA86D1C" w14:textId="6E7BB0A9" w:rsidR="00632BC7" w:rsidRDefault="006C4D06" w:rsidP="006C4D06">
      <w:pPr>
        <w:spacing w:line="276" w:lineRule="auto"/>
        <w:ind w:right="140"/>
        <w:rPr>
          <w:rFonts w:cs="Adobe Arabic"/>
        </w:rPr>
      </w:pPr>
      <w:r>
        <w:t xml:space="preserve">Consistente gegevens in verschillende systemen zijn essentieel voor efficiënt werken. Daarom is voor de MDE-software StateMonitor van HEIDENHAIN een opdrachtinterface beschikbaar voor het uitwisselen van opdrachtgegevens met hogere ERP- of MES-systemen. De overdracht van opdrachten en bijbehorende plantijden aan StateMonitor vindt automatisch plaats. De gegevens zijn dan beschikbaar voor de gebruiker in de opdrachtterminal van StateMonitor, waar ze met werkelijke tijden, bijv. gerealiseerde instel- en productietijden, evenals daadwerkelijk geproduceerde hoeveelheden kunnen worden aangevuld. Uiteraard bestaat de mogelijkheid om voltooide opdrachten weer in het bovenliggende systeem over te nemen, en zodoende de belangrijke actuele productiegegevens ook in deze gegevensbestanden beschikbaar te hebben. </w:t>
      </w:r>
    </w:p>
    <w:p w14:paraId="0CDC852C" w14:textId="7B520DB4" w:rsidR="00DA75BA" w:rsidRPr="00357A90" w:rsidRDefault="00632BC7" w:rsidP="00357A90">
      <w:pPr>
        <w:spacing w:line="276" w:lineRule="auto"/>
        <w:ind w:right="140"/>
        <w:rPr>
          <w:rFonts w:cs="Adobe Arabic"/>
        </w:rPr>
      </w:pPr>
      <w:r>
        <w:t xml:space="preserve">De combinatie van de opdrachtgegevens met machinegegevens biedt de gebruiker een dieper inzicht in de productie en bereikte efficiëntie - en dat met slechts één tool. Bovendien zijn via StateMonitor eenvoudige boekingen mogelijk, ook voor medewerkers zonder </w:t>
      </w:r>
      <w:r>
        <w:lastRenderedPageBreak/>
        <w:t xml:space="preserve">uitgebreide IT-kennis. De registratie van opdrachtgegevens via machinemeldingen is daarbij zelfs direct vanuit het NC-programma mogelijk. Dat vermindert de handmatige boekingskosten, bespaart boekingsterminals, voorkomt overdrachtsfouten en zorgt voor een uniforme gegevensbasis in alle systemen. </w:t>
      </w:r>
    </w:p>
    <w:p w14:paraId="252F83EF" w14:textId="77777777" w:rsidR="00357A90" w:rsidRDefault="00357A90" w:rsidP="00357A90">
      <w:pPr>
        <w:spacing w:line="276" w:lineRule="auto"/>
        <w:ind w:right="140"/>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CF7349E" w:rsidR="003D4CB9" w:rsidRPr="00334FD7" w:rsidRDefault="00357A90" w:rsidP="00BA48BF">
            <w:pPr>
              <w:spacing w:line="276" w:lineRule="auto"/>
              <w:rPr>
                <w:rFonts w:cs="Adobe Arabic"/>
              </w:rPr>
            </w:pPr>
            <w:r>
              <w:rPr>
                <w:noProof/>
              </w:rPr>
              <w:drawing>
                <wp:inline distT="0" distB="0" distL="0" distR="0" wp14:anchorId="62AA8443" wp14:editId="62670968">
                  <wp:extent cx="2860040" cy="2254250"/>
                  <wp:effectExtent l="0" t="0" r="0" b="0"/>
                  <wp:docPr id="2889264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0040" cy="2254250"/>
                          </a:xfrm>
                          <a:prstGeom prst="rect">
                            <a:avLst/>
                          </a:prstGeom>
                          <a:noFill/>
                          <a:ln>
                            <a:noFill/>
                          </a:ln>
                        </pic:spPr>
                      </pic:pic>
                    </a:graphicData>
                  </a:graphic>
                </wp:inline>
              </w:drawing>
            </w:r>
          </w:p>
        </w:tc>
        <w:tc>
          <w:tcPr>
            <w:tcW w:w="4677" w:type="dxa"/>
            <w:vAlign w:val="bottom"/>
          </w:tcPr>
          <w:p w14:paraId="010D2791" w14:textId="6FAF8133" w:rsidR="003D4CB9" w:rsidRPr="00334FD7" w:rsidRDefault="000A2E31" w:rsidP="00A84B3D">
            <w:pPr>
              <w:spacing w:line="276" w:lineRule="auto"/>
              <w:rPr>
                <w:rFonts w:cs="Adobe Arabic"/>
                <w:i/>
              </w:rPr>
            </w:pPr>
            <w:r>
              <w:rPr>
                <w:i/>
              </w:rPr>
              <w:t>Met behulp van de verschilcurves kan met de energiemonitoring van MDE-software StateMonitor van HEIDENHAIN een directe vergelijking worden gemaakt van het energieverbruik tussen machines, maar ook tussen uitgevoerde NC-programma's.</w:t>
            </w:r>
          </w:p>
        </w:tc>
      </w:tr>
      <w:tr w:rsidR="002A6C7A" w:rsidRPr="00334FD7" w14:paraId="744AB0FF" w14:textId="77777777" w:rsidTr="00281C45">
        <w:tc>
          <w:tcPr>
            <w:tcW w:w="4677" w:type="dxa"/>
            <w:vAlign w:val="bottom"/>
          </w:tcPr>
          <w:p w14:paraId="3B72F8E0" w14:textId="53F685D9" w:rsidR="002A6C7A" w:rsidRDefault="00357A90" w:rsidP="00BA48BF">
            <w:pPr>
              <w:spacing w:line="276" w:lineRule="auto"/>
              <w:rPr>
                <w:rFonts w:cs="Adobe Arabic"/>
                <w:noProof/>
              </w:rPr>
            </w:pPr>
            <w:r>
              <w:rPr>
                <w:noProof/>
              </w:rPr>
              <w:drawing>
                <wp:inline distT="0" distB="0" distL="0" distR="0" wp14:anchorId="41783F65" wp14:editId="3232D01F">
                  <wp:extent cx="2880000" cy="1621234"/>
                  <wp:effectExtent l="0" t="0" r="0" b="0"/>
                  <wp:docPr id="6842149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621234"/>
                          </a:xfrm>
                          <a:prstGeom prst="rect">
                            <a:avLst/>
                          </a:prstGeom>
                          <a:noFill/>
                          <a:ln>
                            <a:noFill/>
                          </a:ln>
                        </pic:spPr>
                      </pic:pic>
                    </a:graphicData>
                  </a:graphic>
                </wp:inline>
              </w:drawing>
            </w:r>
          </w:p>
        </w:tc>
        <w:tc>
          <w:tcPr>
            <w:tcW w:w="4677" w:type="dxa"/>
            <w:vAlign w:val="bottom"/>
          </w:tcPr>
          <w:p w14:paraId="44C27D38" w14:textId="0186715D" w:rsidR="002A6C7A" w:rsidRDefault="000A2E31" w:rsidP="00A84B3D">
            <w:pPr>
              <w:spacing w:line="276" w:lineRule="auto"/>
              <w:rPr>
                <w:rFonts w:cs="Adobe Arabic"/>
                <w:i/>
              </w:rPr>
            </w:pPr>
            <w:r>
              <w:rPr>
                <w:i/>
              </w:rPr>
              <w:t xml:space="preserve">Met de opdrachtinterface van StateMonitor van HEIDENHAIN kunnen machinegegevens en opdrachtgegevens automatisch worden uitgewisseld tussen de MDE-software en hogere ERP- en MES-systemen. </w:t>
            </w:r>
          </w:p>
        </w:tc>
      </w:tr>
    </w:tbl>
    <w:p w14:paraId="6CD7282D" w14:textId="77777777" w:rsidR="00335E9A" w:rsidRDefault="00335E9A" w:rsidP="00E647F0"/>
    <w:p w14:paraId="01270CF2" w14:textId="77777777" w:rsidR="00335E9A" w:rsidRDefault="00335E9A" w:rsidP="00E647F0"/>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334FD7" w14:paraId="3632A5D6" w14:textId="77777777" w:rsidTr="00C45320">
        <w:tc>
          <w:tcPr>
            <w:tcW w:w="4677" w:type="dxa"/>
          </w:tcPr>
          <w:p w14:paraId="6FC8F0D4" w14:textId="77777777" w:rsidR="00321A88" w:rsidRPr="00334FD7" w:rsidRDefault="00321A88" w:rsidP="00C45320">
            <w:pPr>
              <w:autoSpaceDE w:val="0"/>
              <w:autoSpaceDN w:val="0"/>
              <w:adjustRightInd w:val="0"/>
              <w:spacing w:line="276" w:lineRule="auto"/>
              <w:rPr>
                <w:rFonts w:cs="Arial"/>
                <w:b/>
                <w:i/>
                <w:iCs/>
                <w:sz w:val="20"/>
                <w:szCs w:val="20"/>
              </w:rPr>
            </w:pPr>
            <w:r>
              <w:rPr>
                <w:b/>
                <w:i/>
                <w:sz w:val="20"/>
              </w:rPr>
              <w:t xml:space="preserve">Meer informatie op: </w:t>
            </w:r>
          </w:p>
          <w:p w14:paraId="0ACBF36C"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 xml:space="preserve">.com </w:t>
            </w:r>
          </w:p>
          <w:p w14:paraId="4D463A32"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www.heidenhain.de/tnc7</w:t>
            </w:r>
          </w:p>
          <w:p w14:paraId="1A336057" w14:textId="77777777" w:rsidR="00321A88" w:rsidRPr="00334FD7" w:rsidRDefault="00A01DA6" w:rsidP="00C45320">
            <w:pPr>
              <w:autoSpaceDE w:val="0"/>
              <w:autoSpaceDN w:val="0"/>
              <w:adjustRightInd w:val="0"/>
              <w:spacing w:line="276" w:lineRule="auto"/>
              <w:rPr>
                <w:rStyle w:val="Hyperlink"/>
                <w:rFonts w:cs="Arial"/>
                <w:iCs/>
                <w:sz w:val="20"/>
                <w:szCs w:val="20"/>
              </w:rPr>
            </w:pPr>
            <w:hyperlink r:id="rId11" w:history="1">
              <w:r w:rsidR="00CC7F00">
                <w:rPr>
                  <w:rStyle w:val="Hyperlink"/>
                  <w:sz w:val="20"/>
                </w:rPr>
                <w:t>www.heidenhain.de</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7C5A7B21" w14:textId="53D20E43" w:rsidR="00321A88" w:rsidRPr="00334FD7" w:rsidRDefault="00321A88" w:rsidP="00C45320">
            <w:pPr>
              <w:spacing w:line="276" w:lineRule="auto"/>
              <w:rPr>
                <w:rFonts w:cs="Arial"/>
                <w:b/>
                <w:color w:val="333333"/>
                <w:szCs w:val="18"/>
                <w:shd w:val="clear" w:color="auto" w:fill="FFFFFF"/>
              </w:rPr>
            </w:pPr>
          </w:p>
        </w:tc>
      </w:tr>
    </w:tbl>
    <w:p w14:paraId="27B9F7C0" w14:textId="77777777" w:rsidR="00321A88" w:rsidRDefault="00321A88" w:rsidP="00321A88"/>
    <w:sectPr w:rsidR="00321A88" w:rsidSect="007B5290">
      <w:headerReference w:type="default" r:id="rId12"/>
      <w:footerReference w:type="default" r:id="rId13"/>
      <w:pgSz w:w="11907" w:h="16840" w:code="9"/>
      <w:pgMar w:top="1985"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DF09" w14:textId="77777777" w:rsidR="00FA7E08" w:rsidRDefault="00FA7E08" w:rsidP="0091430D">
      <w:r>
        <w:separator/>
      </w:r>
    </w:p>
  </w:endnote>
  <w:endnote w:type="continuationSeparator" w:id="0">
    <w:p w14:paraId="252BB68A" w14:textId="77777777" w:rsidR="00FA7E08" w:rsidRDefault="00FA7E0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7FED" w14:textId="77777777" w:rsidR="00FA7E08" w:rsidRDefault="00FA7E08" w:rsidP="0091430D">
      <w:r>
        <w:separator/>
      </w:r>
    </w:p>
  </w:footnote>
  <w:footnote w:type="continuationSeparator" w:id="0">
    <w:p w14:paraId="30A2DE12" w14:textId="77777777" w:rsidR="00FA7E08" w:rsidRDefault="00FA7E0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Persinformatie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4E58"/>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A2E31"/>
    <w:rsid w:val="000B02AE"/>
    <w:rsid w:val="000C3F0E"/>
    <w:rsid w:val="000C66E8"/>
    <w:rsid w:val="000E63B0"/>
    <w:rsid w:val="000E696D"/>
    <w:rsid w:val="000F6355"/>
    <w:rsid w:val="00104227"/>
    <w:rsid w:val="00106AEA"/>
    <w:rsid w:val="001076B5"/>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D2A34"/>
    <w:rsid w:val="001E7E8E"/>
    <w:rsid w:val="002110ED"/>
    <w:rsid w:val="00211DB8"/>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57A90"/>
    <w:rsid w:val="00371EBE"/>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2BC7"/>
    <w:rsid w:val="006355EE"/>
    <w:rsid w:val="00635D3B"/>
    <w:rsid w:val="00643ACC"/>
    <w:rsid w:val="00652C63"/>
    <w:rsid w:val="006577EB"/>
    <w:rsid w:val="00661039"/>
    <w:rsid w:val="006758B8"/>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B5290"/>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4781E"/>
    <w:rsid w:val="00951569"/>
    <w:rsid w:val="00952826"/>
    <w:rsid w:val="00952CA1"/>
    <w:rsid w:val="0095347A"/>
    <w:rsid w:val="0096312C"/>
    <w:rsid w:val="00963479"/>
    <w:rsid w:val="00964FC8"/>
    <w:rsid w:val="009733AE"/>
    <w:rsid w:val="00975A0B"/>
    <w:rsid w:val="00982455"/>
    <w:rsid w:val="009970E3"/>
    <w:rsid w:val="009A7518"/>
    <w:rsid w:val="009B379B"/>
    <w:rsid w:val="009B67F1"/>
    <w:rsid w:val="009C6BF8"/>
    <w:rsid w:val="009D15B9"/>
    <w:rsid w:val="009D16F3"/>
    <w:rsid w:val="009D175A"/>
    <w:rsid w:val="009D5CDA"/>
    <w:rsid w:val="00A01DA6"/>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823B1"/>
    <w:rsid w:val="00B87B80"/>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C7F00"/>
    <w:rsid w:val="00CD4796"/>
    <w:rsid w:val="00CD71D4"/>
    <w:rsid w:val="00CE6C7B"/>
    <w:rsid w:val="00CE7F26"/>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7BB7"/>
    <w:rsid w:val="00D87B41"/>
    <w:rsid w:val="00D90E17"/>
    <w:rsid w:val="00D93E00"/>
    <w:rsid w:val="00D9586D"/>
    <w:rsid w:val="00D96114"/>
    <w:rsid w:val="00DA1D6D"/>
    <w:rsid w:val="00DA75BA"/>
    <w:rsid w:val="00DD6CC2"/>
    <w:rsid w:val="00DE36FF"/>
    <w:rsid w:val="00DE5C0A"/>
    <w:rsid w:val="00DF2886"/>
    <w:rsid w:val="00E0475C"/>
    <w:rsid w:val="00E06DD0"/>
    <w:rsid w:val="00E22AC1"/>
    <w:rsid w:val="00E2679F"/>
    <w:rsid w:val="00E302A0"/>
    <w:rsid w:val="00E32A68"/>
    <w:rsid w:val="00E35995"/>
    <w:rsid w:val="00E4331D"/>
    <w:rsid w:val="00E43981"/>
    <w:rsid w:val="00E54940"/>
    <w:rsid w:val="00E647F0"/>
    <w:rsid w:val="00E752C5"/>
    <w:rsid w:val="00E80B0E"/>
    <w:rsid w:val="00E82990"/>
    <w:rsid w:val="00E854C5"/>
    <w:rsid w:val="00E87DA6"/>
    <w:rsid w:val="00E90578"/>
    <w:rsid w:val="00E91F1B"/>
    <w:rsid w:val="00E92936"/>
    <w:rsid w:val="00E951C2"/>
    <w:rsid w:val="00E97915"/>
    <w:rsid w:val="00EA0DB8"/>
    <w:rsid w:val="00EA5046"/>
    <w:rsid w:val="00EB4C6E"/>
    <w:rsid w:val="00EC47D1"/>
    <w:rsid w:val="00ED049A"/>
    <w:rsid w:val="00ED0F55"/>
    <w:rsid w:val="00ED2BF2"/>
    <w:rsid w:val="00EF7163"/>
    <w:rsid w:val="00F070B5"/>
    <w:rsid w:val="00F1013B"/>
    <w:rsid w:val="00F14D45"/>
    <w:rsid w:val="00F21F92"/>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478A"/>
    <w:rsid w:val="00FA7E08"/>
    <w:rsid w:val="00FB090D"/>
    <w:rsid w:val="00FB5B37"/>
    <w:rsid w:val="00FC07F4"/>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3571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4129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2</cp:revision>
  <cp:lastPrinted>2022-08-30T09:05:00Z</cp:lastPrinted>
  <dcterms:created xsi:type="dcterms:W3CDTF">2024-12-12T09:57:00Z</dcterms:created>
  <dcterms:modified xsi:type="dcterms:W3CDTF">2024-12-12T09:57:00Z</dcterms:modified>
</cp:coreProperties>
</file>